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80" w:after="0" w:line="800"/>
        <w:ind w:right="0" w:left="0" w:firstLine="0"/>
        <w:jc w:val="left"/>
        <w:rPr>
          <w:rFonts w:ascii="Century Gothic" w:hAnsi="Century Gothic" w:cs="Century Gothic" w:eastAsia="Century Gothic"/>
          <w:caps w:val="true"/>
          <w:color w:val="144181"/>
          <w:spacing w:val="0"/>
          <w:position w:val="0"/>
          <w:sz w:val="72"/>
          <w:shd w:fill="auto" w:val="clear"/>
        </w:rPr>
      </w:pPr>
      <w:r>
        <w:rPr>
          <w:rFonts w:ascii="Century Gothic" w:hAnsi="Century Gothic" w:cs="Century Gothic" w:eastAsia="Century Gothic"/>
          <w:caps w:val="true"/>
          <w:color w:val="144181"/>
          <w:spacing w:val="0"/>
          <w:position w:val="0"/>
          <w:sz w:val="72"/>
          <w:shd w:fill="auto" w:val="clear"/>
        </w:rPr>
        <w:t xml:space="preserve">Javier </w:t>
      </w: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72"/>
          <w:shd w:fill="auto" w:val="clear"/>
        </w:rPr>
        <w:t xml:space="preserve">Decerega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4"/>
          <w:shd w:fill="auto" w:val="clear"/>
        </w:rPr>
        <w:t xml:space="preserve"> </w:t>
      </w:r>
    </w:p>
    <w:p>
      <w:pPr>
        <w:spacing w:before="0" w:after="0" w:line="28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Dorado Lakes , Panamá | (507) 6277 8320 | jadeceregas@gmail.com </w:t>
      </w:r>
    </w:p>
    <w:p>
      <w:pPr>
        <w:spacing w:before="0" w:after="0" w:line="28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Fecha de nacimiento: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 12/10/1973 |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Nacionalidad: 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Panameña |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  <w:t xml:space="preserve">Estado Civil: 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Casado</w:t>
      </w:r>
    </w:p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Resumen profesional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Profesional con amplia experiencia en el sector logístico y excelentes dotes de liderazgo y de gestión de equipos. A lo largo de mi carrera siempre he destacado por mi capacidad para encontrar oportunidades de optimizar procesos y maximizar los beneficios de la empresa.</w:t>
      </w:r>
    </w:p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Historial laboral</w:t>
      </w:r>
    </w:p>
    <w:tbl>
      <w:tblPr/>
      <w:tblGrid>
        <w:gridCol w:w="2600"/>
        <w:gridCol w:w="7706"/>
      </w:tblGrid>
      <w:tr>
        <w:trPr>
          <w:trHeight w:val="3015" w:hRule="auto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06/2012 - 05/2023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Director de Cadena de Suministro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Alicapsa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Gestor y administrador de todos los procesos concernientes a la Cadena de Suministro. Responsable de evitar las interrupciones en la Cadena de la forma más eficiente y rentablemente posible, con el objetivo de ofrecer la mayor satisfacción a los clientes.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Diseño y seguimiento al cumplimiento de Planes Estratégicos.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Elaboración y cumplimiento del presupuesto de gastos.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Análisis de datos y toma de decisiones basados en ellos.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Coordinación permanente con proveedores, otros departamentos, equipos de trabajo y clientes.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Gestión y desarrollo de los colaboradores.</w:t>
            </w:r>
          </w:p>
          <w:p>
            <w:pPr>
              <w:numPr>
                <w:ilvl w:val="0"/>
                <w:numId w:val="9"/>
              </w:numPr>
              <w:spacing w:before="0" w:after="0" w:line="32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Búsqueda, evaluación y seguimiento de herramientas de transformación digital.</w:t>
            </w:r>
          </w:p>
        </w:tc>
      </w:tr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01/2002 - 06/2012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Gerente de Logistica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Avipac, Inc.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Responsable de las gestión de los ciclos de pedidos y de la organización, supervisión, almacenaje y distribución de todos los productos comercialiados o producidos, garantizando la sostenibilidad, rentabilidad y satisfacción al cliente.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Implementación de procesos y procedimientos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Elaboración, gestión y control de presupuestos y gastos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Análisis de datos y toma de decisiones basadas en ellos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Preparación y presentación de informes y estadísticas.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Mantenimiento del orden y la limpieza en el lugar de trabajo</w:t>
            </w:r>
          </w:p>
          <w:p>
            <w:pPr>
              <w:numPr>
                <w:ilvl w:val="0"/>
                <w:numId w:val="13"/>
              </w:numPr>
              <w:spacing w:before="0" w:after="0" w:line="32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Coordinación de equipos de trabajo</w:t>
            </w:r>
          </w:p>
        </w:tc>
      </w:tr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01/2001 - 01/2002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Tecnico de Recubrimientos Industriales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International Paint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numPr>
                <w:ilvl w:val="0"/>
                <w:numId w:val="16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Servicio de asesoramiento técnico en esquemas de recubrimientos en el sector industrial y marítimo.</w:t>
            </w:r>
          </w:p>
          <w:p>
            <w:pPr>
              <w:numPr>
                <w:ilvl w:val="0"/>
                <w:numId w:val="16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Ventas industriales.</w:t>
            </w:r>
          </w:p>
          <w:p>
            <w:pPr>
              <w:numPr>
                <w:ilvl w:val="0"/>
                <w:numId w:val="16"/>
              </w:numPr>
              <w:spacing w:before="0" w:after="0" w:line="32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Representante de los clientes en los astilleros.</w:t>
            </w:r>
          </w:p>
        </w:tc>
      </w:tr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01/2000 - 01/2001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Supervisor de mantenimiento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Petro eléctrica de Panamá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Colon </w:t>
            </w:r>
          </w:p>
          <w:p>
            <w:pPr>
              <w:numPr>
                <w:ilvl w:val="0"/>
                <w:numId w:val="1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Coordinación y supervisión de programas de mantenimiento correctivo, preventivo y predictivo.</w:t>
            </w:r>
          </w:p>
          <w:p>
            <w:pPr>
              <w:numPr>
                <w:ilvl w:val="0"/>
                <w:numId w:val="1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Planificación, asignación de tareas y supervisión del personal de mantenimiento.</w:t>
            </w:r>
          </w:p>
          <w:p>
            <w:pPr>
              <w:numPr>
                <w:ilvl w:val="0"/>
                <w:numId w:val="19"/>
              </w:numPr>
              <w:spacing w:before="0" w:after="0" w:line="32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Inspección de los trabajos realizados por el personal técnico.</w:t>
            </w:r>
          </w:p>
          <w:p>
            <w:pPr>
              <w:numPr>
                <w:ilvl w:val="0"/>
                <w:numId w:val="19"/>
              </w:numPr>
              <w:spacing w:before="0" w:after="0" w:line="32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Elaboración de informes con análisis de datos, soluciones, beneficios y costos.</w:t>
            </w:r>
          </w:p>
        </w:tc>
      </w:tr>
    </w:tbl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Formación</w:t>
      </w:r>
    </w:p>
    <w:tbl>
      <w:tblPr/>
      <w:tblGrid>
        <w:gridCol w:w="2600"/>
        <w:gridCol w:w="7706"/>
      </w:tblGrid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2001 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Posgrado en Alta Gerencia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: Administrativo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Universidad Tecnologica de Panamá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Desarrollé capacidades estratégicas, tácticas y operativas que me facilitaron el poder identificar oportunidades de mejora en los procesos de las organizaciones.</w:t>
            </w:r>
          </w:p>
        </w:tc>
      </w:tr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1999 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Ingeniería Mecánica Industrial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: Ingeniería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Universidad Tecnológica de Panamá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Desarrollo de capacidades para llevar el control en sistemas de producción, logística, análisis de procesos y su diseño.</w:t>
            </w:r>
          </w:p>
        </w:tc>
      </w:tr>
      <w:tr>
        <w:trPr>
          <w:trHeight w:val="1" w:hRule="atLeast"/>
          <w:jc w:val="left"/>
        </w:trPr>
        <w:tc>
          <w:tcPr>
            <w:tcW w:w="26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1991 </w:t>
            </w:r>
          </w:p>
        </w:tc>
        <w:tc>
          <w:tcPr>
            <w:tcW w:w="77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Bachiller en ciencias, letras y comercio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: General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Colegio San Agustin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- Panamá </w:t>
            </w:r>
          </w:p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Aptitudes</w:t>
      </w:r>
    </w:p>
    <w:tbl>
      <w:tblPr>
        <w:tblInd w:w="2600" w:type="dxa"/>
      </w:tblPr>
      <w:tblGrid>
        <w:gridCol w:w="3853"/>
        <w:gridCol w:w="3853"/>
      </w:tblGrid>
      <w:tr>
        <w:trPr>
          <w:trHeight w:val="1" w:hRule="atLeast"/>
          <w:jc w:val="left"/>
        </w:trPr>
        <w:tc>
          <w:tcPr>
            <w:tcW w:w="38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Liderazgo</w:t>
            </w:r>
          </w:p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Excelente capacidad de comunicación</w:t>
            </w:r>
          </w:p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Adaptabilidad</w:t>
            </w:r>
          </w:p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Manejo de datos e indicadores</w:t>
            </w:r>
          </w:p>
        </w:tc>
        <w:tc>
          <w:tcPr>
            <w:tcW w:w="3853" w:type="dxa"/>
            <w:tcBorders>
              <w:top w:val="single" w:color="000000" w:sz="0"/>
              <w:left w:val="single" w:color="fefdfd" w:sz="8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Trabajo en equipo multidisciplinarios</w:t>
            </w:r>
          </w:p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Habilidad para la gestión de proyectos</w:t>
            </w:r>
          </w:p>
          <w:p>
            <w:pPr>
              <w:numPr>
                <w:ilvl w:val="0"/>
                <w:numId w:val="32"/>
              </w:numPr>
              <w:spacing w:before="0" w:after="0" w:line="300"/>
              <w:ind w:right="0" w:left="640" w:hanging="261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Orientado al cliente</w:t>
            </w:r>
          </w:p>
        </w:tc>
      </w:tr>
    </w:tbl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Éxitos profesionales</w:t>
      </w:r>
    </w:p>
    <w:p>
      <w:pPr>
        <w:numPr>
          <w:ilvl w:val="0"/>
          <w:numId w:val="35"/>
        </w:numPr>
        <w:spacing w:before="0" w:after="0" w:line="300"/>
        <w:ind w:right="0" w:left="3240" w:hanging="261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Optimizar y rentabilizar cada proceso o proyecto asignado, basado en la mejora de los indicadores asociados.</w:t>
      </w:r>
    </w:p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Referencias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Eustorgio Otero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Gerente Administrativo y Financiero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Avipac, Inc.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eotero@avipacinc.com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Tel: (507) 6238 2332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       (507) 236 5656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Jose Rangel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Director Comercial 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Alicapsa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jrrangel@alicapsa.com.pa</w:t>
      </w:r>
    </w:p>
    <w:p>
      <w:pPr>
        <w:spacing w:before="0" w:after="0" w:line="300"/>
        <w:ind w:right="0" w:left="260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Tel: (507) 6200 7956</w:t>
      </w:r>
    </w:p>
    <w:p>
      <w:pPr>
        <w:spacing w:before="80" w:after="10" w:line="30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2"/>
          <w:shd w:fill="auto" w:val="clear"/>
        </w:rPr>
        <w:t xml:space="preserve">Idiomas</w:t>
      </w:r>
    </w:p>
    <w:tbl>
      <w:tblPr>
        <w:tblInd w:w="2600" w:type="dxa"/>
      </w:tblPr>
      <w:tblGrid>
        <w:gridCol w:w="3703"/>
        <w:gridCol w:w="4003"/>
      </w:tblGrid>
      <w:tr>
        <w:trPr>
          <w:trHeight w:val="1" w:hRule="atLeast"/>
          <w:jc w:val="left"/>
        </w:trPr>
        <w:tc>
          <w:tcPr>
            <w:tcW w:w="7706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Español: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Idioma nativo </w:t>
            </w:r>
          </w:p>
        </w:tc>
      </w:tr>
      <w:tr>
        <w:trPr>
          <w:trHeight w:val="1" w:hRule="atLeast"/>
          <w:jc w:val="left"/>
        </w:trPr>
        <w:tc>
          <w:tcPr>
            <w:tcW w:w="37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right" w:pos="3683" w:leader="none"/>
              </w:tabs>
              <w:spacing w:before="0" w:after="0" w:line="30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Inglés: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  <w:tab/>
              <w:t xml:space="preserve">B1 </w:t>
            </w:r>
          </w:p>
          <w:p>
            <w:pPr>
              <w:spacing w:before="8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603" w:dyaOrig="121">
                <v:rect xmlns:o="urn:schemas-microsoft-com:office:office" xmlns:v="urn:schemas-microsoft-com:vml" id="rectole0000000000" style="width:180.150000pt;height:6.0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2"/>
                <w:shd w:fill="auto" w:val="clear"/>
              </w:rPr>
              <w:t xml:space="preserve">Intermedio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aps w:val="true"/>
          <w:color w:val="144181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9">
    <w:abstractNumId w:val="30"/>
  </w:num>
  <w:num w:numId="13">
    <w:abstractNumId w:val="24"/>
  </w:num>
  <w:num w:numId="16">
    <w:abstractNumId w:val="18"/>
  </w:num>
  <w:num w:numId="19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